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sz w:val="28"/>
        </w:rPr>
      </w:pPr>
    </w:p>
    <w:p w14:paraId="02000000">
      <w:pPr>
        <w:pStyle w:val="Style_1"/>
        <w:ind/>
        <w:jc w:val="center"/>
        <w:rPr>
          <w:b w:val="1"/>
          <w:sz w:val="22"/>
        </w:rPr>
      </w:pPr>
    </w:p>
    <w:p w14:paraId="03000000">
      <w:pPr>
        <w:pStyle w:val="Style_1"/>
        <w:ind/>
        <w:jc w:val="center"/>
        <w:rPr>
          <w:b w:val="1"/>
          <w:sz w:val="22"/>
        </w:rPr>
      </w:pPr>
      <w:r>
        <w:rPr>
          <w:b w:val="1"/>
          <w:sz w:val="22"/>
        </w:rPr>
        <w:t>МИНФИН РОССИИ</w:t>
      </w:r>
    </w:p>
    <w:p w14:paraId="04000000">
      <w:pPr>
        <w:pStyle w:val="Style_1"/>
        <w:ind/>
        <w:jc w:val="center"/>
        <w:rPr>
          <w:b w:val="1"/>
          <w:sz w:val="22"/>
        </w:rPr>
      </w:pPr>
      <w:r>
        <w:rPr>
          <w:b w:val="1"/>
          <w:sz w:val="22"/>
        </w:rPr>
        <w:t>ФЕДЕРАЛЬНАЯ НАЛОГОВАЯ СЛУЖБА</w:t>
      </w:r>
    </w:p>
    <w:p w14:paraId="05000000">
      <w:pPr>
        <w:pStyle w:val="Style_1"/>
        <w:ind/>
        <w:jc w:val="center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Управление ФНС России по Республике Дагестан</w:t>
      </w:r>
    </w:p>
    <w:p w14:paraId="06000000">
      <w:pPr>
        <w:pStyle w:val="Style_1"/>
        <w:ind/>
        <w:jc w:val="center"/>
        <w:rPr>
          <w:b w:val="1"/>
          <w:color w:val="0070C0"/>
          <w:sz w:val="32"/>
        </w:rPr>
      </w:pPr>
    </w:p>
    <w:p w14:paraId="07000000">
      <w:pPr>
        <w:pStyle w:val="Style_1"/>
        <w:spacing w:line="360" w:lineRule="auto"/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Уважаемые налогоплательщики!</w:t>
      </w:r>
    </w:p>
    <w:p w14:paraId="08000000">
      <w:pPr>
        <w:pStyle w:val="Style_1"/>
        <w:ind/>
        <w:jc w:val="both"/>
        <w:rPr>
          <w:sz w:val="28"/>
        </w:rPr>
      </w:pPr>
      <w:r>
        <w:rPr>
          <w:sz w:val="27"/>
        </w:rPr>
        <w:t xml:space="preserve"> </w:t>
      </w:r>
      <w:r>
        <w:rPr>
          <w:sz w:val="28"/>
        </w:rPr>
        <w:tab/>
      </w:r>
      <w:r>
        <w:rPr>
          <w:sz w:val="28"/>
        </w:rPr>
        <w:t>В соответствии со ст. 346.23 Налогового кодекса Российской Федерации</w:t>
      </w:r>
      <w:r>
        <w:rPr>
          <w:sz w:val="28"/>
        </w:rPr>
        <w:t xml:space="preserve"> (далее – НК РФ)</w:t>
      </w:r>
      <w:r>
        <w:rPr>
          <w:sz w:val="28"/>
        </w:rPr>
        <w:t xml:space="preserve"> налогоплательщики </w:t>
      </w:r>
      <w:r>
        <w:rPr>
          <w:b w:val="1"/>
          <w:sz w:val="28"/>
        </w:rPr>
        <w:t>УСН</w:t>
      </w:r>
      <w:r>
        <w:rPr>
          <w:sz w:val="28"/>
        </w:rPr>
        <w:t xml:space="preserve"> обязаны представить налоговую декларацию в налоговый орган по месту нахождения организации или месту жительства индивидуального предпринимателя в следующие сроки: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организации - не позднее </w:t>
      </w:r>
      <w:r>
        <w:rPr>
          <w:b w:val="1"/>
          <w:sz w:val="28"/>
        </w:rPr>
        <w:t>25 марта</w:t>
      </w:r>
      <w:r>
        <w:rPr>
          <w:sz w:val="28"/>
        </w:rPr>
        <w:t>;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индивидуальные предприниматели </w:t>
      </w:r>
      <w:r>
        <w:rPr>
          <w:sz w:val="28"/>
        </w:rPr>
        <w:t xml:space="preserve">- не позднее </w:t>
      </w:r>
      <w:r>
        <w:rPr>
          <w:b w:val="1"/>
          <w:sz w:val="28"/>
        </w:rPr>
        <w:t>25 апреля</w:t>
      </w:r>
      <w:r>
        <w:rPr>
          <w:b w:val="1"/>
          <w:sz w:val="28"/>
        </w:rPr>
        <w:t>.</w:t>
      </w:r>
    </w:p>
    <w:p w14:paraId="0B000000">
      <w:pPr>
        <w:ind/>
        <w:jc w:val="both"/>
        <w:rPr>
          <w:b w:val="1"/>
          <w:sz w:val="28"/>
          <w:u w:val="single"/>
        </w:rPr>
      </w:pPr>
      <w:r>
        <w:rPr>
          <w:sz w:val="28"/>
        </w:rPr>
        <w:t xml:space="preserve">      </w:t>
      </w:r>
      <w:r>
        <w:rPr>
          <w:sz w:val="28"/>
        </w:rPr>
        <w:t>В соответствии с п</w:t>
      </w:r>
      <w:r>
        <w:rPr>
          <w:sz w:val="28"/>
        </w:rPr>
        <w:t>.</w:t>
      </w:r>
      <w:r>
        <w:rPr>
          <w:sz w:val="28"/>
        </w:rPr>
        <w:t xml:space="preserve"> 9 с</w:t>
      </w:r>
      <w:r>
        <w:rPr>
          <w:sz w:val="28"/>
        </w:rPr>
        <w:t>т.</w:t>
      </w:r>
      <w:r>
        <w:rPr>
          <w:sz w:val="28"/>
        </w:rPr>
        <w:t xml:space="preserve"> 58 </w:t>
      </w:r>
      <w:r>
        <w:rPr>
          <w:sz w:val="28"/>
        </w:rPr>
        <w:t>НК РФ</w:t>
      </w:r>
      <w:r>
        <w:rPr>
          <w:sz w:val="28"/>
        </w:rPr>
        <w:t xml:space="preserve"> налогоплательщики, </w:t>
      </w:r>
      <w:r>
        <w:rPr>
          <w:sz w:val="28"/>
        </w:rPr>
        <w:t>представляют в налоговый орган уведомление об исчисленных суммах налогов, авансовых платежей по нал</w:t>
      </w:r>
      <w:r>
        <w:rPr>
          <w:sz w:val="28"/>
        </w:rPr>
        <w:t xml:space="preserve">огам, сборов, страховых взносов, в том числе по </w:t>
      </w:r>
      <w:r>
        <w:rPr>
          <w:b w:val="1"/>
          <w:sz w:val="28"/>
          <w:u w:val="single"/>
        </w:rPr>
        <w:t>УСН.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Указанное Уведомление представляется в налоговый орган </w:t>
      </w:r>
      <w:r>
        <w:rPr>
          <w:sz w:val="28"/>
        </w:rPr>
        <w:t xml:space="preserve">по месту учета не позднее </w:t>
      </w:r>
      <w:r>
        <w:rPr>
          <w:b w:val="1"/>
          <w:sz w:val="28"/>
        </w:rPr>
        <w:t>25-го числа месяца</w:t>
      </w:r>
      <w:r>
        <w:rPr>
          <w:sz w:val="28"/>
        </w:rPr>
        <w:t>, в котором установлен срок уплаты соответствующих налогов</w:t>
      </w:r>
      <w:r>
        <w:rPr>
          <w:sz w:val="28"/>
        </w:rPr>
        <w:t>, авансовых платежей по налогам.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Сроки</w:t>
      </w:r>
      <w:r>
        <w:rPr>
          <w:sz w:val="28"/>
        </w:rPr>
        <w:t xml:space="preserve"> представления Уведомлений по УСН</w:t>
      </w:r>
      <w:r>
        <w:rPr>
          <w:sz w:val="28"/>
        </w:rPr>
        <w:t xml:space="preserve"> за 2024 год</w:t>
      </w:r>
      <w:r>
        <w:rPr>
          <w:sz w:val="28"/>
        </w:rPr>
        <w:t>:</w:t>
      </w:r>
    </w:p>
    <w:p w14:paraId="0E000000">
      <w:pPr>
        <w:rPr>
          <w:b w:val="1"/>
          <w:sz w:val="28"/>
        </w:rPr>
      </w:pPr>
      <w:r>
        <w:rPr>
          <w:sz w:val="28"/>
        </w:rPr>
        <w:t>за 1 квартал 2024 года</w:t>
      </w:r>
      <w:r>
        <w:rPr>
          <w:b w:val="1"/>
          <w:sz w:val="28"/>
        </w:rPr>
        <w:t xml:space="preserve"> – </w:t>
      </w:r>
      <w:r>
        <w:rPr>
          <w:sz w:val="28"/>
        </w:rPr>
        <w:t>в срок не позднее</w:t>
      </w:r>
      <w:r>
        <w:rPr>
          <w:b w:val="1"/>
          <w:sz w:val="28"/>
        </w:rPr>
        <w:t xml:space="preserve"> 25.04.</w:t>
      </w:r>
      <w:r>
        <w:rPr>
          <w:b w:val="1"/>
          <w:color w:themeColor="text1" w:val="000000"/>
          <w:sz w:val="28"/>
        </w:rPr>
        <w:t>2024;</w:t>
      </w:r>
      <w:r>
        <w:rPr>
          <w:b w:val="1"/>
          <w:sz w:val="28"/>
        </w:rPr>
        <w:t xml:space="preserve"> </w:t>
      </w:r>
    </w:p>
    <w:p w14:paraId="0F000000">
      <w:pPr>
        <w:rPr>
          <w:b w:val="1"/>
          <w:sz w:val="28"/>
        </w:rPr>
      </w:pPr>
      <w:r>
        <w:rPr>
          <w:sz w:val="28"/>
        </w:rPr>
        <w:t>за 2 квартал 2024 года</w:t>
      </w:r>
      <w:r>
        <w:rPr>
          <w:b w:val="1"/>
          <w:sz w:val="28"/>
        </w:rPr>
        <w:t xml:space="preserve"> – </w:t>
      </w:r>
      <w:r>
        <w:rPr>
          <w:sz w:val="28"/>
        </w:rPr>
        <w:t>в срок не позднее</w:t>
      </w:r>
      <w:r>
        <w:rPr>
          <w:b w:val="1"/>
          <w:sz w:val="28"/>
        </w:rPr>
        <w:t xml:space="preserve"> 25.07.</w:t>
      </w:r>
      <w:r>
        <w:rPr>
          <w:b w:val="1"/>
          <w:color w:themeColor="text1" w:val="000000"/>
          <w:sz w:val="28"/>
        </w:rPr>
        <w:t>2024;</w:t>
      </w:r>
      <w:r>
        <w:rPr>
          <w:b w:val="1"/>
          <w:sz w:val="28"/>
        </w:rPr>
        <w:t xml:space="preserve"> </w:t>
      </w:r>
    </w:p>
    <w:p w14:paraId="10000000">
      <w:pPr>
        <w:rPr>
          <w:b w:val="1"/>
          <w:sz w:val="28"/>
        </w:rPr>
      </w:pPr>
      <w:r>
        <w:rPr>
          <w:sz w:val="28"/>
        </w:rPr>
        <w:t>за 3 квартал 2024 года</w:t>
      </w:r>
      <w:r>
        <w:rPr>
          <w:b w:val="1"/>
          <w:sz w:val="28"/>
        </w:rPr>
        <w:t xml:space="preserve"> – </w:t>
      </w:r>
      <w:r>
        <w:rPr>
          <w:sz w:val="28"/>
        </w:rPr>
        <w:t xml:space="preserve">в срок не </w:t>
      </w:r>
      <w:r>
        <w:rPr>
          <w:color w:themeColor="text1" w:val="000000"/>
          <w:sz w:val="28"/>
        </w:rPr>
        <w:t>позднее</w:t>
      </w:r>
      <w:r>
        <w:rPr>
          <w:b w:val="1"/>
          <w:color w:themeColor="text1" w:val="000000"/>
          <w:sz w:val="28"/>
        </w:rPr>
        <w:t xml:space="preserve"> 25.10.2024.</w:t>
      </w:r>
    </w:p>
    <w:p w14:paraId="11000000">
      <w:pPr>
        <w:pStyle w:val="Style_1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</w:t>
      </w:r>
      <w:r>
        <w:rPr>
          <w:color w:themeColor="text1" w:val="000000"/>
          <w:sz w:val="28"/>
        </w:rPr>
        <w:t>Н</w:t>
      </w:r>
      <w:r>
        <w:rPr>
          <w:color w:themeColor="text1" w:val="000000"/>
          <w:sz w:val="28"/>
        </w:rPr>
        <w:t xml:space="preserve">епредставление в установленный срок </w:t>
      </w:r>
      <w:r>
        <w:rPr>
          <w:color w:themeColor="text1" w:val="000000"/>
          <w:sz w:val="28"/>
        </w:rPr>
        <w:t xml:space="preserve">декларации влечет взыскание штрафа, предусмотренного статьёй 119 НК РФ. </w:t>
      </w:r>
    </w:p>
    <w:p w14:paraId="12000000">
      <w:pPr>
        <w:pStyle w:val="Style_1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Непредставление в установленный срок Уведомления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влечет взыскание штрафа, предусмотренного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</w:t>
      </w:r>
      <w:r>
        <w:rPr>
          <w:color w:themeColor="text1" w:val="000000"/>
          <w:sz w:val="28"/>
        </w:rPr>
        <w:t>атьёй</w:t>
      </w:r>
      <w:r>
        <w:rPr>
          <w:color w:themeColor="text1" w:val="000000"/>
          <w:sz w:val="28"/>
        </w:rPr>
        <w:t xml:space="preserve"> 126 НК РФ, а также</w:t>
      </w:r>
      <w:r>
        <w:rPr>
          <w:color w:themeColor="text1" w:val="000000"/>
          <w:sz w:val="28"/>
        </w:rPr>
        <w:t xml:space="preserve"> частью 1 статьи 19.4 КоАП РФ. </w:t>
      </w:r>
    </w:p>
    <w:p w14:paraId="13000000">
      <w:pPr>
        <w:ind w:firstLine="0" w:left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Так же напоминаем, </w:t>
      </w:r>
      <w:r>
        <w:rPr>
          <w:sz w:val="28"/>
          <w:u w:val="none"/>
        </w:rPr>
        <w:t xml:space="preserve">что с 1 января 2024 года для налогоплательщиков </w:t>
      </w:r>
    </w:p>
    <w:p w14:paraId="14000000">
      <w:pPr>
        <w:ind w:firstLine="0" w:left="0"/>
        <w:jc w:val="both"/>
        <w:rPr>
          <w:sz w:val="28"/>
          <w:u w:val="none"/>
        </w:rPr>
      </w:pPr>
      <w:r>
        <w:rPr>
          <w:sz w:val="28"/>
          <w:u w:val="none"/>
        </w:rPr>
        <w:t>исключается возможность использования платежных поручений в виде распоряжений на перевод денежных средств со статусом «02» вместо уведомлений об исчисленных суммах налогов.</w:t>
      </w:r>
    </w:p>
    <w:p w14:paraId="15000000">
      <w:pPr>
        <w:ind w:firstLine="0" w:left="0"/>
        <w:jc w:val="both"/>
        <w:rPr>
          <w:sz w:val="28"/>
          <w:u w:val="none"/>
        </w:rPr>
      </w:pPr>
    </w:p>
    <w:p w14:paraId="16000000">
      <w:pPr>
        <w:spacing w:after="0" w:line="240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         </w:t>
      </w:r>
      <w:r>
        <w:rPr>
          <w:b w:val="1"/>
          <w:sz w:val="28"/>
        </w:rPr>
        <w:t xml:space="preserve">С 2024 года налог при УСН уплачивается исключительно в рамках ЕНП. </w:t>
      </w:r>
    </w:p>
    <w:p w14:paraId="17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          Сроки уплаты авансовых платежей</w:t>
      </w:r>
      <w:r>
        <w:rPr>
          <w:sz w:val="28"/>
        </w:rPr>
        <w:t xml:space="preserve"> </w:t>
      </w:r>
      <w:r>
        <w:rPr>
          <w:sz w:val="28"/>
        </w:rPr>
        <w:t xml:space="preserve">по УСН: </w:t>
      </w:r>
    </w:p>
    <w:p w14:paraId="18000000">
      <w:pPr>
        <w:ind w:firstLine="0" w:left="709"/>
        <w:rPr>
          <w:color w:val="000000"/>
          <w:sz w:val="28"/>
        </w:rPr>
      </w:pPr>
      <w:r>
        <w:rPr>
          <w:color w:val="000000"/>
          <w:sz w:val="28"/>
        </w:rPr>
        <w:t>за 1 квартал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– в 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позднее </w:t>
      </w:r>
      <w:r>
        <w:rPr>
          <w:b w:val="1"/>
          <w:color w:val="000000"/>
          <w:sz w:val="28"/>
        </w:rPr>
        <w:t>02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мая</w:t>
      </w:r>
      <w:r>
        <w:rPr>
          <w:b w:val="1"/>
          <w:color w:val="000000"/>
          <w:sz w:val="28"/>
        </w:rPr>
        <w:t xml:space="preserve">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; </w:t>
      </w:r>
    </w:p>
    <w:p w14:paraId="19000000">
      <w:pPr>
        <w:ind w:firstLine="0" w:left="709"/>
        <w:rPr>
          <w:color w:val="000000"/>
          <w:sz w:val="28"/>
        </w:rPr>
      </w:pPr>
      <w:r>
        <w:rPr>
          <w:color w:val="000000"/>
          <w:sz w:val="28"/>
        </w:rPr>
        <w:t>за 2 квартал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– в 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позднее 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9</w:t>
      </w:r>
      <w:r>
        <w:rPr>
          <w:b w:val="1"/>
          <w:color w:val="000000"/>
          <w:sz w:val="28"/>
        </w:rPr>
        <w:t xml:space="preserve"> июля</w:t>
      </w:r>
      <w:r>
        <w:rPr>
          <w:b w:val="1"/>
          <w:color w:val="000000"/>
          <w:sz w:val="28"/>
        </w:rPr>
        <w:t xml:space="preserve">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; </w:t>
      </w:r>
    </w:p>
    <w:p w14:paraId="1A000000">
      <w:pPr>
        <w:ind w:firstLine="0" w:left="709"/>
        <w:rPr>
          <w:color w:val="000000"/>
          <w:sz w:val="28"/>
        </w:rPr>
      </w:pPr>
      <w:r>
        <w:rPr>
          <w:color w:val="000000"/>
          <w:sz w:val="28"/>
        </w:rPr>
        <w:t>за 3 квартал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– в 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позднее </w:t>
      </w:r>
      <w:r>
        <w:rPr>
          <w:b w:val="1"/>
          <w:color w:val="000000"/>
          <w:sz w:val="28"/>
        </w:rPr>
        <w:t>28 октября</w:t>
      </w:r>
      <w:r>
        <w:rPr>
          <w:b w:val="1"/>
          <w:color w:val="000000"/>
          <w:sz w:val="28"/>
        </w:rPr>
        <w:t xml:space="preserve">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года</w:t>
      </w:r>
      <w:r>
        <w:rPr>
          <w:color w:val="000000"/>
          <w:sz w:val="28"/>
        </w:rPr>
        <w:t>.</w:t>
      </w:r>
    </w:p>
    <w:p w14:paraId="1B000000">
      <w:pPr>
        <w:rPr>
          <w:color w:val="000000"/>
          <w:sz w:val="28"/>
        </w:rPr>
      </w:pPr>
    </w:p>
    <w:p w14:paraId="1C000000">
      <w:pPr>
        <w:pStyle w:val="Style_1"/>
        <w:ind/>
        <w:jc w:val="both"/>
        <w:rPr>
          <w:color w:themeColor="text1" w:val="000000"/>
          <w:sz w:val="27"/>
        </w:rPr>
      </w:pPr>
      <w:r>
        <w:rPr>
          <w:sz w:val="28"/>
        </w:rPr>
        <w:t xml:space="preserve">        </w:t>
      </w:r>
      <w:r>
        <w:rPr>
          <w:sz w:val="28"/>
        </w:rPr>
        <w:t>Более подробно ознакомиться с</w:t>
      </w:r>
      <w:r>
        <w:rPr>
          <w:sz w:val="28"/>
        </w:rPr>
        <w:t xml:space="preserve"> </w:t>
      </w:r>
      <w:r>
        <w:rPr>
          <w:sz w:val="28"/>
        </w:rPr>
        <w:t>информацией о порядке</w:t>
      </w:r>
      <w:r>
        <w:rPr>
          <w:sz w:val="28"/>
        </w:rPr>
        <w:t xml:space="preserve"> </w:t>
      </w:r>
      <w:r>
        <w:rPr>
          <w:sz w:val="28"/>
        </w:rPr>
        <w:t>заполнения уведомлений можно</w:t>
      </w:r>
      <w:r>
        <w:rPr>
          <w:sz w:val="28"/>
        </w:rPr>
        <w:t xml:space="preserve"> </w:t>
      </w:r>
      <w:r>
        <w:rPr>
          <w:sz w:val="28"/>
        </w:rPr>
        <w:t>на сайте ФНС России в разделе</w:t>
      </w:r>
      <w:r>
        <w:rPr>
          <w:sz w:val="28"/>
        </w:rPr>
        <w:t xml:space="preserve"> </w:t>
      </w:r>
      <w:r>
        <w:rPr>
          <w:sz w:val="28"/>
        </w:rPr>
        <w:t>«Уведомление об исчисленных</w:t>
      </w:r>
      <w:r>
        <w:rPr>
          <w:sz w:val="28"/>
        </w:rPr>
        <w:t xml:space="preserve"> </w:t>
      </w:r>
      <w:r>
        <w:rPr>
          <w:sz w:val="28"/>
        </w:rPr>
        <w:t>суммах» промо</w:t>
      </w:r>
      <w:r>
        <w:rPr>
          <w:sz w:val="28"/>
        </w:rPr>
        <w:t xml:space="preserve"> </w:t>
      </w:r>
      <w:r>
        <w:rPr>
          <w:sz w:val="28"/>
        </w:rPr>
        <w:t>страницы «Все о</w:t>
      </w:r>
      <w:r>
        <w:rPr>
          <w:sz w:val="28"/>
        </w:rPr>
        <w:t xml:space="preserve"> </w:t>
      </w:r>
      <w:r>
        <w:rPr>
          <w:sz w:val="28"/>
        </w:rPr>
        <w:t>ЕНС».</w:t>
      </w:r>
    </w:p>
    <w:sectPr>
      <w:pgSz w:h="16838" w:w="11906"/>
      <w:pgMar w:bottom="0" w:footer="708" w:gutter="0" w:header="708" w:left="720" w:right="72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Segoe UI" w:hAnsi="Segoe UI"/>
      <w:sz w:val="18"/>
    </w:rPr>
  </w:style>
  <w:style w:styleId="Style_7_ch" w:type="character">
    <w:name w:val="Balloon Text"/>
    <w:basedOn w:val="Style_2_ch"/>
    <w:link w:val="Style_7"/>
    <w:rPr>
      <w:rFonts w:ascii="Segoe UI" w:hAnsi="Segoe UI"/>
      <w:sz w:val="18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9_ch" w:type="character">
    <w:name w:val="header"/>
    <w:basedOn w:val="Style_2_ch"/>
    <w:link w:val="Style_9"/>
    <w:rPr>
      <w:sz w:val="28"/>
    </w:rPr>
  </w:style>
  <w:style w:styleId="Style_10" w:type="paragraph">
    <w:name w:val="Обычный1"/>
    <w:link w:val="Style_10_ch"/>
    <w:rPr>
      <w:rFonts w:ascii="Times New Roman" w:hAnsi="Times New Roman"/>
      <w:sz w:val="26"/>
    </w:rPr>
  </w:style>
  <w:style w:styleId="Style_10_ch" w:type="character">
    <w:name w:val="Обычный1"/>
    <w:link w:val="Style_10"/>
    <w:rPr>
      <w:rFonts w:ascii="Times New Roman" w:hAnsi="Times New Roman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Гиперссылка1"/>
    <w:basedOn w:val="Style_21"/>
    <w:link w:val="Style_20_ch"/>
    <w:rPr>
      <w:color w:val="0000FF"/>
      <w:u w:val="single"/>
    </w:rPr>
  </w:style>
  <w:style w:styleId="Style_20_ch" w:type="character">
    <w:name w:val="Гиперссылка1"/>
    <w:basedOn w:val="Style_21_ch"/>
    <w:link w:val="Style_20"/>
    <w:rPr>
      <w:color w:val="0000FF"/>
      <w:u w:val="single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Default"/>
    <w:link w:val="Style_1"/>
    <w:rPr>
      <w:rFonts w:ascii="Times New Roman" w:hAnsi="Times New Roman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2024-04-19T11:16:55Z</dcterms:modified>
</cp:coreProperties>
</file>