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D13" w:rsidRDefault="00D10D13" w:rsidP="00D126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6A4">
        <w:rPr>
          <w:rFonts w:ascii="Times New Roman" w:hAnsi="Times New Roman" w:cs="Times New Roman"/>
          <w:b/>
          <w:sz w:val="28"/>
          <w:szCs w:val="28"/>
        </w:rPr>
        <w:t>Основания и порядок установления публичного сервитута</w:t>
      </w:r>
    </w:p>
    <w:p w:rsidR="00D126A4" w:rsidRP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D13" w:rsidRPr="00D126A4" w:rsidRDefault="00D10D13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 xml:space="preserve"> В соответствии со ст. 274 Гражданского кодекса Российской Федерации земельный сервитут дает право ограниченного пользования чужим земельным участком и устанавливается по соглашению сторон или в судебном порядке.</w:t>
      </w:r>
    </w:p>
    <w:p w:rsidR="00D10D13" w:rsidRPr="00D126A4" w:rsidRDefault="00D10D13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>В соответствии с ч. 2 ст. 23 Земельного кодекса Российской Федерации публичный сервитут устанавливается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нужд, а также нужд местного населения без изъятия земельных участков.</w:t>
      </w:r>
    </w:p>
    <w:p w:rsidR="00D10D13" w:rsidRPr="00D126A4" w:rsidRDefault="00D10D13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>Цели установления публичного сервитута закреплены в ч. 4 ст. 23 Земельного кодекса Российской Федерации, наиболее распространенными из которых являются проход или проезд через земельный участок.</w:t>
      </w:r>
    </w:p>
    <w:p w:rsidR="00D10D13" w:rsidRPr="00D126A4" w:rsidRDefault="00D10D13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>Основанием для установления публичного сервитута является необходимость защиты интересов неопределенного круга лиц, которую нельзя обеспечить другим способом.</w:t>
      </w:r>
    </w:p>
    <w:p w:rsidR="00D10D13" w:rsidRPr="00D126A4" w:rsidRDefault="00D10D13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>Обременение в виде публичного сервитута возможно в отношении земельных участков, находящихся как в частной, так в государственной (муниципальной) собственности, в том числе переданных в срочное или бессрочное пользование.</w:t>
      </w:r>
    </w:p>
    <w:p w:rsidR="00D10D13" w:rsidRPr="00D126A4" w:rsidRDefault="00D10D13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 xml:space="preserve"> После установления публичного сервитута правообладатель земельного участка может его продать или иным образом передать права на землю. При этом силу ч. ч. 5, 6 ст. 23 Земельного кодекса Российской Федерации публичный сервитут не прекратится, и его условия не изменятся.</w:t>
      </w:r>
    </w:p>
    <w:p w:rsidR="00D10D13" w:rsidRPr="00D126A4" w:rsidRDefault="00D10D13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>Срок публичного сервитута определяет уполномоченный орган и указывает его в решении об установлении такого сервитута. Срок публичного сервитута участков на землях, зарезервированных для государственных (муниципальных) нужд, не может превышать срока такого резервирования.</w:t>
      </w:r>
    </w:p>
    <w:p w:rsidR="00D10D13" w:rsidRPr="00D126A4" w:rsidRDefault="00D10D13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>Основными принципами установления публичного сервитута являются его оптимальность и установление на наименее обременительных условиях для использования земельного участка в соответствии с его целевым назначением и разрешенным использованием.</w:t>
      </w:r>
    </w:p>
    <w:p w:rsidR="00D10D13" w:rsidRPr="00D126A4" w:rsidRDefault="00D10D13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>Изложенное означает, что до принятия решения об установлении публичного сервитута орган государственной власти или местного самоуправления проверяет, что иных способов обеспечить проход, проезд к социально-значимым объектам для неопределенного круга лиц не имеется, либо устанавливаемое обременение (проезд, проход) является наиболее коротким (удобным), а также убеждается в том, что сервитут установлен на наименее обременительных условиях и собственник или иной законный владелец земельного участка не будет лишен возможности использовать земельный участок по целевому назначению.</w:t>
      </w:r>
    </w:p>
    <w:p w:rsidR="00D10D13" w:rsidRPr="00D126A4" w:rsidRDefault="00D10D13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>В соответствии с ч. 2 ст. 48 Земельного кодекса Российской Федерации публичный сервитут может быть прекращен по решению уполномоченного органа, если отпали общественные нужды, для которых он был установлен.</w:t>
      </w:r>
    </w:p>
    <w:p w:rsidR="00D10D13" w:rsidRPr="00D126A4" w:rsidRDefault="00D10D13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 xml:space="preserve"> Публичный сервитут, установленный на определенный срок согласно ч. 3 ст. 48 Земельного кодекса Российской </w:t>
      </w:r>
      <w:proofErr w:type="gramStart"/>
      <w:r w:rsidRPr="00D126A4">
        <w:rPr>
          <w:rFonts w:ascii="Times New Roman" w:hAnsi="Times New Roman" w:cs="Times New Roman"/>
          <w:sz w:val="28"/>
          <w:szCs w:val="28"/>
        </w:rPr>
        <w:t>Федерации  считается</w:t>
      </w:r>
      <w:proofErr w:type="gramEnd"/>
      <w:r w:rsidRPr="00D126A4">
        <w:rPr>
          <w:rFonts w:ascii="Times New Roman" w:hAnsi="Times New Roman" w:cs="Times New Roman"/>
          <w:sz w:val="28"/>
          <w:szCs w:val="28"/>
        </w:rPr>
        <w:t xml:space="preserve"> прекращенным с </w:t>
      </w:r>
      <w:r w:rsidRPr="00D126A4">
        <w:rPr>
          <w:rFonts w:ascii="Times New Roman" w:hAnsi="Times New Roman" w:cs="Times New Roman"/>
          <w:sz w:val="28"/>
          <w:szCs w:val="28"/>
        </w:rPr>
        <w:lastRenderedPageBreak/>
        <w:t>месяца, следующего за месяцем, в котором истек срок публичного сервитута. Решение уполномоченного органа в данном случае не требуется.</w:t>
      </w:r>
    </w:p>
    <w:p w:rsidR="00D10D13" w:rsidRPr="00D126A4" w:rsidRDefault="00D10D13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>Кроме этого, рассматриваемое вещное право можно прекратить в судебном порядке по иску правообладателя земельного участка, к примеру, если из-за осуществления публичного сервитута невозможно использовать такой участок по его целевому назначению.</w:t>
      </w:r>
    </w:p>
    <w:p w:rsidR="00D10D13" w:rsidRPr="00D126A4" w:rsidRDefault="00D10D13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>По общему правилу плата за установленный публичный сервитут не взимается, однако в случае если его установление существенно затрудняет использование земельного участка, соответствующая соразмерная плата может быть установлена.</w:t>
      </w:r>
    </w:p>
    <w:p w:rsidR="00D10D13" w:rsidRDefault="00D10D13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>Сведения о публичном сервитуте вносятся в Единый государственный реестр недвижимости.</w:t>
      </w: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Pr="00C74DA7" w:rsidRDefault="004E2E75" w:rsidP="00D126A4">
      <w:pPr>
        <w:pStyle w:val="a3"/>
        <w:ind w:right="-144"/>
        <w:jc w:val="both"/>
        <w:rPr>
          <w:rFonts w:ascii="Times New Roman" w:hAnsi="Times New Roman" w:cs="Times New Roman"/>
          <w:sz w:val="27"/>
          <w:szCs w:val="27"/>
        </w:rPr>
      </w:pPr>
      <w:r w:rsidRPr="00C74DA7">
        <w:rPr>
          <w:rFonts w:ascii="Times New Roman" w:hAnsi="Times New Roman" w:cs="Times New Roman"/>
          <w:sz w:val="27"/>
          <w:szCs w:val="27"/>
        </w:rPr>
        <w:t>П</w:t>
      </w:r>
      <w:r w:rsidR="00D126A4" w:rsidRPr="00C74DA7">
        <w:rPr>
          <w:rFonts w:ascii="Times New Roman" w:hAnsi="Times New Roman" w:cs="Times New Roman"/>
          <w:sz w:val="27"/>
          <w:szCs w:val="27"/>
        </w:rPr>
        <w:t>рокурор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 w:rsidR="00D126A4" w:rsidRPr="00C74DA7">
        <w:rPr>
          <w:rFonts w:ascii="Times New Roman" w:hAnsi="Times New Roman" w:cs="Times New Roman"/>
          <w:sz w:val="27"/>
          <w:szCs w:val="27"/>
        </w:rPr>
        <w:t xml:space="preserve">района  </w:t>
      </w:r>
    </w:p>
    <w:p w:rsidR="00D126A4" w:rsidRPr="00C74DA7" w:rsidRDefault="00D126A4" w:rsidP="00D126A4">
      <w:pPr>
        <w:pStyle w:val="a3"/>
        <w:spacing w:line="240" w:lineRule="exact"/>
        <w:ind w:right="-144"/>
        <w:jc w:val="both"/>
        <w:rPr>
          <w:rFonts w:ascii="Times New Roman" w:hAnsi="Times New Roman" w:cs="Times New Roman"/>
          <w:sz w:val="27"/>
          <w:szCs w:val="27"/>
        </w:rPr>
      </w:pPr>
    </w:p>
    <w:p w:rsidR="00D126A4" w:rsidRPr="00C74DA7" w:rsidRDefault="00D126A4" w:rsidP="00D126A4">
      <w:pPr>
        <w:pStyle w:val="a3"/>
        <w:spacing w:line="240" w:lineRule="exact"/>
        <w:ind w:right="-144"/>
        <w:rPr>
          <w:rFonts w:ascii="Times New Roman" w:hAnsi="Times New Roman" w:cs="Times New Roman"/>
          <w:sz w:val="27"/>
          <w:szCs w:val="27"/>
        </w:rPr>
      </w:pPr>
      <w:r w:rsidRPr="00C74DA7">
        <w:rPr>
          <w:rFonts w:ascii="Times New Roman" w:hAnsi="Times New Roman" w:cs="Times New Roman"/>
          <w:sz w:val="27"/>
          <w:szCs w:val="27"/>
        </w:rPr>
        <w:t xml:space="preserve">младший советник юстиции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C74DA7">
        <w:rPr>
          <w:rFonts w:ascii="Times New Roman" w:hAnsi="Times New Roman" w:cs="Times New Roman"/>
          <w:sz w:val="27"/>
          <w:szCs w:val="27"/>
        </w:rPr>
        <w:t xml:space="preserve">  Г.Г. Арадахов</w:t>
      </w: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D13" w:rsidRPr="000F5D23" w:rsidRDefault="00D10D13" w:rsidP="000F5D23">
      <w:pPr>
        <w:rPr>
          <w:rFonts w:ascii="Times New Roman" w:hAnsi="Times New Roman" w:cs="Times New Roman"/>
          <w:sz w:val="28"/>
          <w:szCs w:val="28"/>
        </w:rPr>
      </w:pPr>
    </w:p>
    <w:sectPr w:rsidR="00D10D13" w:rsidRPr="000F5D23" w:rsidSect="00BE1EAA">
      <w:pgSz w:w="11906" w:h="16838"/>
      <w:pgMar w:top="1134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B3"/>
    <w:rsid w:val="000416AE"/>
    <w:rsid w:val="000F5D23"/>
    <w:rsid w:val="001D721F"/>
    <w:rsid w:val="002D5DB3"/>
    <w:rsid w:val="00325709"/>
    <w:rsid w:val="004E2E75"/>
    <w:rsid w:val="006A0A9B"/>
    <w:rsid w:val="00785B00"/>
    <w:rsid w:val="007E4ADD"/>
    <w:rsid w:val="00976CB6"/>
    <w:rsid w:val="00B13365"/>
    <w:rsid w:val="00BE1EAA"/>
    <w:rsid w:val="00D10D13"/>
    <w:rsid w:val="00D1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D952D"/>
  <w15:chartTrackingRefBased/>
  <w15:docId w15:val="{C0378B88-487E-4CA0-89CB-9DE67D7F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6A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F5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5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Арадахов Гаджимурад Гусейнович</cp:lastModifiedBy>
  <cp:revision>14</cp:revision>
  <cp:lastPrinted>2023-04-12T08:25:00Z</cp:lastPrinted>
  <dcterms:created xsi:type="dcterms:W3CDTF">2021-11-24T08:55:00Z</dcterms:created>
  <dcterms:modified xsi:type="dcterms:W3CDTF">2024-01-04T15:08:00Z</dcterms:modified>
</cp:coreProperties>
</file>